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47B" w:rsidRDefault="00F5747B" w:rsidP="00EE39E9">
      <w:pPr>
        <w:pStyle w:val="Bezodstpw"/>
        <w:jc w:val="center"/>
        <w:rPr>
          <w:rFonts w:asciiTheme="minorHAnsi" w:eastAsia="Times New Roman" w:hAnsiTheme="minorHAnsi" w:cstheme="minorHAnsi"/>
          <w:bCs/>
          <w:color w:val="00587C"/>
          <w:spacing w:val="5"/>
          <w:kern w:val="28"/>
          <w:sz w:val="36"/>
          <w:szCs w:val="36"/>
          <w:lang w:val="pl-PL"/>
        </w:rPr>
      </w:pPr>
      <w:r w:rsidRPr="00F5747B">
        <w:rPr>
          <w:rFonts w:asciiTheme="minorHAnsi" w:eastAsia="Times New Roman" w:hAnsiTheme="minorHAnsi" w:cstheme="minorHAnsi"/>
          <w:bCs/>
          <w:color w:val="00587C"/>
          <w:spacing w:val="5"/>
          <w:kern w:val="28"/>
          <w:sz w:val="36"/>
          <w:szCs w:val="36"/>
          <w:lang w:val="pl-PL"/>
        </w:rPr>
        <w:t xml:space="preserve">Unijny Kodeks Celny w transakcjach z krajami trzecimi </w:t>
      </w:r>
      <w:r>
        <w:rPr>
          <w:rFonts w:asciiTheme="minorHAnsi" w:eastAsia="Times New Roman" w:hAnsiTheme="minorHAnsi" w:cstheme="minorHAnsi"/>
          <w:bCs/>
          <w:color w:val="00587C"/>
          <w:spacing w:val="5"/>
          <w:kern w:val="28"/>
          <w:sz w:val="36"/>
          <w:szCs w:val="36"/>
          <w:lang w:val="pl-PL"/>
        </w:rPr>
        <w:br/>
        <w:t>w praktyce</w:t>
      </w:r>
    </w:p>
    <w:p w:rsidR="00EE39E9" w:rsidRDefault="00F5747B" w:rsidP="00EE39E9">
      <w:pPr>
        <w:pStyle w:val="Bezodstpw"/>
        <w:jc w:val="center"/>
        <w:rPr>
          <w:rStyle w:val="Wyrnieniedelikatne"/>
          <w:rFonts w:asciiTheme="minorHAnsi" w:hAnsiTheme="minorHAnsi" w:cstheme="minorHAnsi"/>
        </w:rPr>
      </w:pPr>
      <w:r>
        <w:rPr>
          <w:rStyle w:val="Wyrnieniedelikatne"/>
          <w:rFonts w:asciiTheme="minorHAnsi" w:hAnsiTheme="minorHAnsi" w:cstheme="minorHAnsi"/>
        </w:rPr>
        <w:t>6 listopada</w:t>
      </w:r>
      <w:r w:rsidR="00EE39E9" w:rsidRPr="00E12CB0">
        <w:rPr>
          <w:rStyle w:val="Wyrnieniedelikatne"/>
          <w:rFonts w:asciiTheme="minorHAnsi" w:hAnsiTheme="minorHAnsi" w:cstheme="minorHAnsi"/>
        </w:rPr>
        <w:t xml:space="preserve"> 2017 r.</w:t>
      </w:r>
      <w:r w:rsidR="00EE39E9" w:rsidRPr="00E12CB0">
        <w:rPr>
          <w:rStyle w:val="Wyrnieniedelikatne"/>
          <w:rFonts w:asciiTheme="minorHAnsi" w:hAnsiTheme="minorHAnsi" w:cstheme="minorHAnsi"/>
        </w:rPr>
        <w:br/>
        <w:t>Regionalne Centrum Innowacji i Transferu Technologii</w:t>
      </w:r>
      <w:r w:rsidR="00EE39E9" w:rsidRPr="00E12CB0">
        <w:rPr>
          <w:rStyle w:val="Wyrnieniedelikatne"/>
          <w:rFonts w:asciiTheme="minorHAnsi" w:hAnsiTheme="minorHAnsi" w:cstheme="minorHAnsi"/>
        </w:rPr>
        <w:br/>
        <w:t xml:space="preserve">ul. Jagiellońska 20-21, 70-363 Szczecin </w:t>
      </w:r>
    </w:p>
    <w:p w:rsidR="00EE39E9" w:rsidRPr="00410A50" w:rsidRDefault="00EE39E9" w:rsidP="00EE39E9">
      <w:pPr>
        <w:pStyle w:val="Bezodstpw"/>
        <w:spacing w:before="0"/>
        <w:jc w:val="center"/>
        <w:rPr>
          <w:rFonts w:ascii="Myriad Pro Light" w:hAnsi="Myriad Pro Light"/>
          <w:iCs/>
          <w:color w:val="00587C"/>
          <w:sz w:val="8"/>
          <w:szCs w:val="8"/>
        </w:rPr>
      </w:pPr>
    </w:p>
    <w:tbl>
      <w:tblPr>
        <w:tblpPr w:leftFromText="141" w:rightFromText="141" w:vertAnchor="text" w:tblpXSpec="center" w:tblpY="1"/>
        <w:tblOverlap w:val="never"/>
        <w:tblW w:w="1017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1E0" w:firstRow="1" w:lastRow="1" w:firstColumn="1" w:lastColumn="1" w:noHBand="0" w:noVBand="0"/>
      </w:tblPr>
      <w:tblGrid>
        <w:gridCol w:w="1384"/>
        <w:gridCol w:w="5670"/>
        <w:gridCol w:w="3119"/>
      </w:tblGrid>
      <w:tr w:rsidR="00EE39E9" w:rsidRPr="003B7292" w:rsidTr="007B5FA1">
        <w:trPr>
          <w:trHeight w:val="558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</w:tcPr>
          <w:p w:rsidR="00EE39E9" w:rsidRPr="003B7292" w:rsidRDefault="00EE39E9" w:rsidP="007B5FA1">
            <w:pPr>
              <w:pStyle w:val="Bezodstpw"/>
              <w:jc w:val="center"/>
              <w:rPr>
                <w:rFonts w:asciiTheme="minorHAnsi" w:hAnsiTheme="minorHAnsi" w:cstheme="minorHAnsi"/>
                <w:b/>
                <w:color w:val="16171A"/>
                <w:sz w:val="20"/>
                <w:szCs w:val="20"/>
              </w:rPr>
            </w:pPr>
            <w:r w:rsidRPr="003B7292">
              <w:rPr>
                <w:rFonts w:asciiTheme="minorHAnsi" w:hAnsiTheme="minorHAnsi" w:cstheme="minorHAnsi"/>
                <w:b/>
                <w:color w:val="16171A"/>
                <w:sz w:val="20"/>
                <w:szCs w:val="20"/>
              </w:rPr>
              <w:t>Godzina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</w:tcPr>
          <w:p w:rsidR="00EE39E9" w:rsidRPr="003B7292" w:rsidRDefault="00EE39E9" w:rsidP="007B5FA1">
            <w:pPr>
              <w:pStyle w:val="Bezodstpw"/>
              <w:spacing w:line="276" w:lineRule="auto"/>
              <w:jc w:val="center"/>
              <w:rPr>
                <w:rFonts w:asciiTheme="minorHAnsi" w:hAnsiTheme="minorHAnsi" w:cstheme="minorHAnsi"/>
                <w:b/>
                <w:color w:val="16171A"/>
                <w:sz w:val="20"/>
                <w:szCs w:val="20"/>
              </w:rPr>
            </w:pPr>
            <w:r w:rsidRPr="003B7292">
              <w:rPr>
                <w:rFonts w:asciiTheme="minorHAnsi" w:hAnsiTheme="minorHAnsi" w:cstheme="minorHAnsi"/>
                <w:b/>
                <w:color w:val="16171A"/>
                <w:sz w:val="20"/>
                <w:szCs w:val="20"/>
              </w:rPr>
              <w:t>Temat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FFFFFF"/>
          </w:tcPr>
          <w:p w:rsidR="00EE39E9" w:rsidRPr="003B7292" w:rsidRDefault="00EE39E9" w:rsidP="007B5FA1">
            <w:pPr>
              <w:pStyle w:val="Bezodstpw"/>
              <w:jc w:val="center"/>
              <w:rPr>
                <w:rFonts w:asciiTheme="minorHAnsi" w:hAnsiTheme="minorHAnsi" w:cstheme="minorHAnsi"/>
                <w:b/>
                <w:color w:val="16171A"/>
                <w:sz w:val="20"/>
                <w:szCs w:val="20"/>
              </w:rPr>
            </w:pPr>
            <w:r w:rsidRPr="003B7292">
              <w:rPr>
                <w:rFonts w:asciiTheme="minorHAnsi" w:hAnsiTheme="minorHAnsi" w:cstheme="minorHAnsi"/>
                <w:b/>
                <w:color w:val="16171A"/>
                <w:sz w:val="20"/>
                <w:szCs w:val="20"/>
              </w:rPr>
              <w:t>Prowadzący</w:t>
            </w:r>
          </w:p>
        </w:tc>
      </w:tr>
      <w:tr w:rsidR="00EE39E9" w:rsidRPr="00E12CB0" w:rsidTr="007B5FA1">
        <w:tc>
          <w:tcPr>
            <w:tcW w:w="1384" w:type="dxa"/>
            <w:tcBorders>
              <w:bottom w:val="single" w:sz="4" w:space="0" w:color="auto"/>
            </w:tcBorders>
            <w:shd w:val="pct15" w:color="auto" w:fill="auto"/>
          </w:tcPr>
          <w:p w:rsidR="00EE39E9" w:rsidRPr="00C158AF" w:rsidRDefault="00EE39E9" w:rsidP="00EE39E9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08</w:t>
            </w:r>
            <w:r w:rsidRPr="00C158AF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45 – 09.0</w:t>
            </w:r>
            <w:r w:rsidRPr="00C158AF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</w:t>
            </w:r>
          </w:p>
        </w:tc>
        <w:tc>
          <w:tcPr>
            <w:tcW w:w="8789" w:type="dxa"/>
            <w:gridSpan w:val="2"/>
            <w:tcBorders>
              <w:bottom w:val="single" w:sz="4" w:space="0" w:color="auto"/>
            </w:tcBorders>
            <w:shd w:val="pct15" w:color="auto" w:fill="auto"/>
            <w:vAlign w:val="center"/>
          </w:tcPr>
          <w:p w:rsidR="00EE39E9" w:rsidRPr="00C158AF" w:rsidRDefault="00EE39E9" w:rsidP="007B5FA1">
            <w:pPr>
              <w:pStyle w:val="Bezodstpw"/>
              <w:spacing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C158AF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Rejestracja / Kawa powitalna</w:t>
            </w:r>
          </w:p>
        </w:tc>
      </w:tr>
      <w:tr w:rsidR="00EE39E9" w:rsidRPr="00E12CB0" w:rsidTr="007B5FA1">
        <w:trPr>
          <w:trHeight w:val="56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E39E9" w:rsidRPr="00E12CB0" w:rsidRDefault="00EE39E9" w:rsidP="00EE39E9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09.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0 - 09.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E39E9" w:rsidRPr="00C158AF" w:rsidRDefault="00EE39E9" w:rsidP="007B5FA1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C158AF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Przywitanie gości</w:t>
            </w:r>
          </w:p>
          <w:p w:rsidR="00EE39E9" w:rsidRPr="00E12CB0" w:rsidRDefault="00EE39E9" w:rsidP="007B5FA1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Regionalne Centrum Innowacji i Transferu 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Technologii oraz Enterprise Europe Network – wsparcie nauki i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biznesu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E39E9" w:rsidRDefault="00EE39E9" w:rsidP="007B5FA1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</w:p>
          <w:p w:rsidR="00EE39E9" w:rsidRPr="00E12CB0" w:rsidRDefault="00EE39E9" w:rsidP="007B5FA1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Jacek Wójcikiewicz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konsultant</w:t>
            </w:r>
          </w:p>
          <w:p w:rsidR="00EE39E9" w:rsidRPr="00E12CB0" w:rsidRDefault="00EE39E9" w:rsidP="007B5FA1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EEN </w:t>
            </w:r>
          </w:p>
          <w:p w:rsidR="00EE39E9" w:rsidRPr="00E12CB0" w:rsidRDefault="00EE39E9" w:rsidP="007B5FA1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</w:p>
        </w:tc>
      </w:tr>
      <w:tr w:rsidR="00EE39E9" w:rsidRPr="00E34EA7" w:rsidTr="007B5FA1">
        <w:trPr>
          <w:trHeight w:val="700"/>
        </w:trPr>
        <w:tc>
          <w:tcPr>
            <w:tcW w:w="1384" w:type="dxa"/>
            <w:tcBorders>
              <w:top w:val="single" w:sz="4" w:space="0" w:color="auto"/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E12CB0" w:rsidRDefault="00EE39E9" w:rsidP="00EE39E9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09.10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09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30</w:t>
            </w:r>
          </w:p>
        </w:tc>
        <w:tc>
          <w:tcPr>
            <w:tcW w:w="5670" w:type="dxa"/>
            <w:tcBorders>
              <w:top w:val="single" w:sz="4" w:space="0" w:color="auto"/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9A38C8" w:rsidRDefault="00EE39E9" w:rsidP="00EE39E9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Pakiet prawny Unijnego Kodeksu Celnego</w:t>
            </w:r>
            <w:r w:rsidRPr="00EE39E9">
              <w:rPr>
                <w:rFonts w:asciiTheme="minorHAnsi" w:hAnsiTheme="minorHAnsi" w:cstheme="minorHAnsi"/>
                <w:b/>
                <w:bCs/>
                <w:color w:val="16171A"/>
                <w:sz w:val="20"/>
                <w:szCs w:val="20"/>
                <w:lang w:val="pl-PL"/>
              </w:rPr>
              <w:t xml:space="preserve">.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Ogólne informacje na temat przekraczania granicy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:rsidR="00F5747B" w:rsidRDefault="00EE39E9" w:rsidP="007B5FA1">
            <w:pPr>
              <w:pStyle w:val="Bezodstpw"/>
              <w:rPr>
                <w:rFonts w:ascii="Arial" w:hAnsi="Arial" w:cs="Arial"/>
                <w:color w:val="808080"/>
                <w:sz w:val="18"/>
                <w:szCs w:val="18"/>
                <w:lang w:val="pl-PL" w:eastAsia="pl-PL"/>
              </w:rPr>
            </w:pPr>
            <w:r w:rsidRPr="00E34EA7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Małgorzata Łoś</w:t>
            </w:r>
            <w:r w:rsidR="000D458A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="00F5747B" w:rsidRPr="00F5747B">
              <w:rPr>
                <w:rFonts w:ascii="Arial" w:hAnsi="Arial" w:cs="Arial"/>
                <w:color w:val="808080"/>
                <w:sz w:val="18"/>
                <w:szCs w:val="18"/>
                <w:lang w:val="pl-PL" w:eastAsia="pl-PL"/>
              </w:rPr>
              <w:t xml:space="preserve"> </w:t>
            </w:r>
          </w:p>
          <w:p w:rsidR="00EE39E9" w:rsidRPr="00F5747B" w:rsidRDefault="00090724" w:rsidP="00F5747B">
            <w:pPr>
              <w:pStyle w:val="Bezodstpw"/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Kierownik</w:t>
            </w:r>
            <w:r w:rsid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="00F5747B"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Referat Obsługi Przedsiębiorców w Zakresie Cła, Pozwoleń i Czynności Audytowych</w:t>
            </w:r>
            <w:r w:rsidR="00F5747B"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br/>
              <w:t>Izba Administracji Skarbowej w Szczecinie</w:t>
            </w:r>
          </w:p>
        </w:tc>
      </w:tr>
      <w:tr w:rsidR="00EE39E9" w:rsidRPr="00E34EA7" w:rsidTr="007B5FA1">
        <w:trPr>
          <w:trHeight w:val="624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E12CB0" w:rsidRDefault="00EE39E9" w:rsidP="00EE39E9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09.30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30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Default="00EE39E9" w:rsidP="00EE39E9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Zagadnienia ogólne z zakresu procedur celnych </w:t>
            </w:r>
          </w:p>
          <w:p w:rsidR="00EE39E9" w:rsidRDefault="00EE39E9" w:rsidP="00EE39E9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-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dopuszczenie do obrotu, wywóz, procedury specjalne: </w:t>
            </w:r>
          </w:p>
          <w:p w:rsidR="000D458A" w:rsidRDefault="00EE39E9" w:rsidP="00EE39E9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tranzyt, składowanie, przetwarzanie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oraz szczególne </w:t>
            </w:r>
          </w:p>
          <w:p w:rsidR="00EE39E9" w:rsidRDefault="000D458A" w:rsidP="00EE39E9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</w:t>
            </w:r>
            <w:r w:rsid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przeznaczenie</w:t>
            </w:r>
          </w:p>
          <w:p w:rsidR="00EE39E9" w:rsidRDefault="00EE39E9" w:rsidP="00EE39E9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-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stosowanie procedur w obrocie towarowym z krajami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</w:t>
            </w:r>
          </w:p>
          <w:p w:rsidR="00EE39E9" w:rsidRDefault="00EE39E9" w:rsidP="00EE39E9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trzecimi,</w:t>
            </w:r>
          </w:p>
          <w:p w:rsidR="00EE39E9" w:rsidRDefault="00EE39E9" w:rsidP="00EE39E9">
            <w:pPr>
              <w:pStyle w:val="Bezodstpw"/>
              <w:tabs>
                <w:tab w:val="left" w:pos="63"/>
              </w:tabs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-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charakterystyka poszczególnych procedur i sytuacje ich</w:t>
            </w:r>
          </w:p>
          <w:p w:rsidR="00EE39E9" w:rsidRPr="00EE39E9" w:rsidRDefault="00EE39E9" w:rsidP="00EE39E9">
            <w:pPr>
              <w:pStyle w:val="Bezodstpw"/>
              <w:tabs>
                <w:tab w:val="left" w:pos="63"/>
              </w:tabs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</w:t>
            </w: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zastosowania</w:t>
            </w:r>
          </w:p>
        </w:tc>
        <w:tc>
          <w:tcPr>
            <w:tcW w:w="3119" w:type="dxa"/>
            <w:shd w:val="clear" w:color="auto" w:fill="FFFFFF"/>
            <w:vAlign w:val="center"/>
          </w:tcPr>
          <w:p w:rsidR="00F5747B" w:rsidRDefault="00EE39E9" w:rsidP="007B5FA1">
            <w:pPr>
              <w:pStyle w:val="Bezodstpw"/>
              <w:rPr>
                <w:rFonts w:ascii="Myriad Pro Light" w:hAnsi="Myriad Pro Light"/>
                <w:color w:val="1F497D"/>
                <w:szCs w:val="28"/>
                <w:lang w:val="pl-PL"/>
              </w:rPr>
            </w:pPr>
            <w:r w:rsidRPr="00E34EA7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Tomasz Kwaśniewski</w:t>
            </w:r>
            <w:r w:rsidR="00F5747B" w:rsidRPr="00F5747B">
              <w:rPr>
                <w:rFonts w:ascii="Myriad Pro Light" w:hAnsi="Myriad Pro Light"/>
                <w:color w:val="1F497D"/>
                <w:szCs w:val="28"/>
                <w:lang w:val="pl-PL"/>
              </w:rPr>
              <w:t xml:space="preserve"> </w:t>
            </w:r>
          </w:p>
          <w:p w:rsidR="000D458A" w:rsidRPr="00E34EA7" w:rsidRDefault="00F5747B" w:rsidP="00F5747B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ekspert skarbowy, Dział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 </w:t>
            </w: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Podatku Akcyzowego i  Podatku od Gier oraz Postępowania Celnego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 Izba Administracji Skarbowej w Szczecinie</w:t>
            </w:r>
          </w:p>
        </w:tc>
      </w:tr>
      <w:tr w:rsidR="00EE39E9" w:rsidRPr="00E34EA7" w:rsidTr="007B5FA1">
        <w:trPr>
          <w:trHeight w:val="624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E12CB0" w:rsidRDefault="00EE39E9" w:rsidP="00EE39E9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10.30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11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30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EE39E9" w:rsidRDefault="00EE39E9" w:rsidP="00EE39E9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Stosowanie stawek celnych w imporcie towarów w kontekście pochodzenia towarów. Nadawanie  pochodzenia, jego dokumentowanie i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uproszczenia w tym w zakresie.</w:t>
            </w:r>
          </w:p>
          <w:p w:rsidR="00EE39E9" w:rsidRPr="00EE39E9" w:rsidRDefault="00EE39E9" w:rsidP="00EE39E9">
            <w:pPr>
              <w:pStyle w:val="Bezodstpw"/>
              <w:numPr>
                <w:ilvl w:val="0"/>
                <w:numId w:val="5"/>
              </w:numPr>
              <w:spacing w:before="40" w:line="276" w:lineRule="auto"/>
              <w:ind w:left="630" w:hanging="142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powstanie długu celnego (preferencje taryfowe, cła antydumpingowe, cła wyrównawcze)</w:t>
            </w:r>
          </w:p>
          <w:p w:rsidR="00EE39E9" w:rsidRPr="00EE39E9" w:rsidRDefault="00EE39E9" w:rsidP="00E34EA7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- stawki celne  </w:t>
            </w:r>
          </w:p>
          <w:p w:rsidR="00E34EA7" w:rsidRDefault="00EE39E9" w:rsidP="00E34EA7">
            <w:pPr>
              <w:pStyle w:val="Bezodstpw"/>
              <w:spacing w:before="40" w:line="276" w:lineRule="auto"/>
              <w:ind w:left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- dokumentowanie pochodzenia preferencyjnego </w:t>
            </w:r>
          </w:p>
          <w:p w:rsidR="00EE39E9" w:rsidRPr="00EE39E9" w:rsidRDefault="00E34EA7" w:rsidP="00E34EA7">
            <w:pPr>
              <w:pStyle w:val="Bezodstpw"/>
              <w:spacing w:before="40" w:line="276" w:lineRule="auto"/>
              <w:ind w:left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</w:t>
            </w:r>
            <w:r w:rsidR="00EE39E9"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i niepreferencyjnego w przywozie i wywozie</w:t>
            </w:r>
          </w:p>
          <w:p w:rsidR="00E34EA7" w:rsidRDefault="00EE39E9" w:rsidP="00E34EA7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- uproszczenia w dokumentowaniu pochodzenia , możliwość </w:t>
            </w:r>
          </w:p>
          <w:p w:rsidR="00E34EA7" w:rsidRDefault="00E34EA7" w:rsidP="00E34EA7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</w:t>
            </w:r>
            <w:r w:rsidR="00EE39E9"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uzyskania pozwolenia na samodzielne potwierdzanie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</w:t>
            </w:r>
          </w:p>
          <w:p w:rsidR="00EE39E9" w:rsidRPr="00EE39E9" w:rsidRDefault="00E34EA7" w:rsidP="00E34EA7">
            <w:pPr>
              <w:pStyle w:val="Bezodstpw"/>
              <w:spacing w:before="40" w:line="276" w:lineRule="auto"/>
              <w:ind w:firstLine="488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lastRenderedPageBreak/>
              <w:t xml:space="preserve">  </w:t>
            </w:r>
            <w:r w:rsidR="00EE39E9"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pochodzenia przez eksporterów</w:t>
            </w:r>
          </w:p>
          <w:p w:rsidR="00EE39E9" w:rsidRPr="00EE39E9" w:rsidRDefault="00E34EA7" w:rsidP="00EE39E9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       </w:t>
            </w:r>
            <w:r w:rsidR="00EE39E9" w:rsidRPr="00EE39E9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- ogólne zasady nadawania pochodzenia </w:t>
            </w:r>
          </w:p>
        </w:tc>
        <w:tc>
          <w:tcPr>
            <w:tcW w:w="3119" w:type="dxa"/>
            <w:shd w:val="clear" w:color="auto" w:fill="FFFFFF"/>
            <w:vAlign w:val="center"/>
          </w:tcPr>
          <w:p w:rsidR="00F5747B" w:rsidRDefault="00EE39E9" w:rsidP="00EE39E9">
            <w:pPr>
              <w:pStyle w:val="Bezodstpw"/>
              <w:rPr>
                <w:rFonts w:ascii="Myriad Pro Light" w:hAnsi="Myriad Pro Light"/>
                <w:color w:val="1F497D"/>
                <w:szCs w:val="28"/>
                <w:lang w:val="pl-PL"/>
              </w:rPr>
            </w:pPr>
            <w:r w:rsidRPr="00E34EA7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lastRenderedPageBreak/>
              <w:t>Katarzyna Hejna</w:t>
            </w:r>
            <w:r w:rsidR="00F5747B" w:rsidRPr="00F5747B">
              <w:rPr>
                <w:rFonts w:ascii="Myriad Pro Light" w:hAnsi="Myriad Pro Light"/>
                <w:color w:val="1F497D"/>
                <w:szCs w:val="28"/>
                <w:lang w:val="pl-PL"/>
              </w:rPr>
              <w:t xml:space="preserve"> </w:t>
            </w:r>
          </w:p>
          <w:p w:rsidR="000D458A" w:rsidRPr="00E34EA7" w:rsidRDefault="00F5747B" w:rsidP="00F5747B">
            <w:pPr>
              <w:pStyle w:val="Bezodstpw"/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</w:pP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ekspert skarbowy, Dział Podatku Akcyzowego i  Podatku od Gier oraz Postępowania Celnego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 Izba Administracji Skarbowej w Szczecinie</w:t>
            </w:r>
          </w:p>
        </w:tc>
      </w:tr>
      <w:tr w:rsidR="00EE39E9" w:rsidRPr="00E12CB0" w:rsidTr="007B5FA1">
        <w:trPr>
          <w:trHeight w:val="337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D9D9D9"/>
            <w:vAlign w:val="center"/>
          </w:tcPr>
          <w:p w:rsidR="00EE39E9" w:rsidRPr="00E12CB0" w:rsidRDefault="00EE39E9" w:rsidP="00D17CA3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lastRenderedPageBreak/>
              <w:t>11.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30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11.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45</w:t>
            </w:r>
          </w:p>
        </w:tc>
        <w:tc>
          <w:tcPr>
            <w:tcW w:w="8789" w:type="dxa"/>
            <w:gridSpan w:val="2"/>
            <w:tcBorders>
              <w:bottom w:val="single" w:sz="4" w:space="0" w:color="808080"/>
            </w:tcBorders>
            <w:shd w:val="clear" w:color="auto" w:fill="D9D9D9"/>
            <w:vAlign w:val="center"/>
          </w:tcPr>
          <w:p w:rsidR="00EE39E9" w:rsidRPr="00E12CB0" w:rsidRDefault="00EE39E9" w:rsidP="00EE39E9">
            <w:pPr>
              <w:pStyle w:val="Bezodstpw"/>
              <w:spacing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C158AF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Przerwa kawowa</w:t>
            </w:r>
          </w:p>
        </w:tc>
      </w:tr>
      <w:tr w:rsidR="00EE39E9" w:rsidRPr="00E12CB0" w:rsidTr="007B5FA1">
        <w:trPr>
          <w:trHeight w:val="625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E12CB0" w:rsidRDefault="00EE39E9" w:rsidP="00D17CA3">
            <w:pPr>
              <w:pStyle w:val="Bezodstpw"/>
              <w:spacing w:before="40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11.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45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12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15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Cyfrowe środowisko w obszarze obsługi przedsiębiorców przez Krajową Administrację Skarbową.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Korzyści dla przedsiębiorców</w:t>
            </w:r>
          </w:p>
          <w:p w:rsidR="00E34EA7" w:rsidRPr="00E34EA7" w:rsidRDefault="00E34EA7" w:rsidP="00E34EA7">
            <w:pPr>
              <w:pStyle w:val="Bezodstpw"/>
              <w:spacing w:before="40" w:line="276" w:lineRule="auto"/>
              <w:ind w:left="630" w:hanging="142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-</w:t>
            </w: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w eksporcie na przykładzie elektronicznego potwierdzenia wyprowadzenia towaru poza obszar UE,</w:t>
            </w:r>
          </w:p>
          <w:p w:rsidR="00E34EA7" w:rsidRDefault="00E34EA7" w:rsidP="00E34EA7">
            <w:pPr>
              <w:pStyle w:val="Bezodstpw"/>
              <w:spacing w:before="40" w:line="276" w:lineRule="auto"/>
              <w:ind w:firstLine="346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   </w:t>
            </w: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- w imporcie na przykładzie możliwości realizacji różnych </w:t>
            </w:r>
          </w:p>
          <w:p w:rsidR="00EE39E9" w:rsidRPr="00E34EA7" w:rsidRDefault="00E34EA7" w:rsidP="00E34EA7">
            <w:pPr>
              <w:pStyle w:val="Bezodstpw"/>
              <w:spacing w:before="40" w:line="276" w:lineRule="auto"/>
              <w:ind w:firstLine="346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   </w:t>
            </w: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procedur importowych (40 i 42) w placówkach granicznych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Default="00E34EA7" w:rsidP="00EE39E9">
            <w:pPr>
              <w:pStyle w:val="Bezodstpw"/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</w:pPr>
            <w:r w:rsidRPr="000D458A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Marcin Jakóbik</w:t>
            </w:r>
            <w:r w:rsid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,</w:t>
            </w:r>
          </w:p>
          <w:p w:rsidR="000D458A" w:rsidRPr="000D458A" w:rsidRDefault="00F5747B" w:rsidP="00F5747B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młodszy ekspert służby celno-skarbowej, Dział Graniczny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 Izba Administracji Skarbowej w Szczecinie</w:t>
            </w:r>
          </w:p>
        </w:tc>
      </w:tr>
      <w:tr w:rsidR="00EE39E9" w:rsidRPr="00C158AF" w:rsidTr="007B5FA1">
        <w:trPr>
          <w:trHeight w:val="415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E12CB0" w:rsidRDefault="00E34EA7" w:rsidP="00D17CA3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12.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15</w:t>
            </w:r>
            <w:r w:rsidR="00EE39E9"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 w:rsidR="00EE39E9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2</w:t>
            </w:r>
            <w:r w:rsidR="00EE39E9"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45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E39E9" w:rsidRPr="00410A50" w:rsidRDefault="00E34EA7" w:rsidP="00EE39E9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CUDO – Centrum Dokonywania Odpraw Celnych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F5747B" w:rsidRDefault="00E34EA7" w:rsidP="00F5747B">
            <w:pPr>
              <w:pStyle w:val="Bezodstpw"/>
              <w:rPr>
                <w:rFonts w:ascii="Arial" w:hAnsi="Arial" w:cs="Arial"/>
                <w:color w:val="1F497D"/>
                <w:sz w:val="18"/>
                <w:szCs w:val="18"/>
                <w:lang w:val="pl-PL"/>
              </w:rPr>
            </w:pPr>
            <w:r w:rsidRPr="000D458A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Dominik Gruszecki</w:t>
            </w:r>
            <w:r w:rsid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="00F5747B" w:rsidRPr="00F5747B">
              <w:rPr>
                <w:rFonts w:ascii="Arial" w:hAnsi="Arial" w:cs="Arial"/>
                <w:color w:val="1F497D"/>
                <w:sz w:val="18"/>
                <w:szCs w:val="18"/>
                <w:lang w:val="pl-PL"/>
              </w:rPr>
              <w:t xml:space="preserve"> </w:t>
            </w:r>
          </w:p>
          <w:p w:rsidR="000D458A" w:rsidRPr="000D458A" w:rsidRDefault="00F5747B" w:rsidP="00F5747B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ekspert służby celno-skarbowej, Dział Graniczny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 Izba Administracji Skarbowej w Szczecinie</w:t>
            </w:r>
          </w:p>
        </w:tc>
      </w:tr>
      <w:tr w:rsidR="00E34EA7" w:rsidRPr="00C158AF" w:rsidTr="007B5FA1">
        <w:trPr>
          <w:trHeight w:val="415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Default="00D17CA3" w:rsidP="00E34EA7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12.45-13.15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AEO, uproszczenia celne, zabezpieczenia celne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F5747B" w:rsidRDefault="00F5747B" w:rsidP="00F5747B">
            <w:pPr>
              <w:pStyle w:val="Bezodstpw"/>
              <w:rPr>
                <w:rFonts w:ascii="Arial" w:hAnsi="Arial" w:cs="Arial"/>
                <w:color w:val="808080"/>
                <w:sz w:val="18"/>
                <w:szCs w:val="18"/>
                <w:lang w:val="pl-PL" w:eastAsia="pl-PL"/>
              </w:rPr>
            </w:pPr>
            <w:r w:rsidRPr="00E34EA7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Małgorzata Łoś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Pr="00F5747B">
              <w:rPr>
                <w:rFonts w:ascii="Arial" w:hAnsi="Arial" w:cs="Arial"/>
                <w:color w:val="808080"/>
                <w:sz w:val="18"/>
                <w:szCs w:val="18"/>
                <w:lang w:val="pl-PL" w:eastAsia="pl-PL"/>
              </w:rPr>
              <w:t xml:space="preserve"> </w:t>
            </w:r>
          </w:p>
          <w:p w:rsidR="000D458A" w:rsidRPr="000D458A" w:rsidRDefault="00090724" w:rsidP="00F5747B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Kierownik</w:t>
            </w:r>
            <w:bookmarkStart w:id="0" w:name="_GoBack"/>
            <w:bookmarkEnd w:id="0"/>
            <w:r w:rsid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="00F5747B"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Referat Obsługi Przedsiębiorców w Zakresie Cła, Pozwoleń i Czynności Audytowych</w:t>
            </w:r>
            <w:r w:rsidR="00F5747B"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br/>
              <w:t>Izba Administracji Skarbowej w Szczecinie</w:t>
            </w:r>
          </w:p>
        </w:tc>
      </w:tr>
      <w:tr w:rsidR="00E34EA7" w:rsidRPr="00E12CB0" w:rsidTr="007B5FA1">
        <w:trPr>
          <w:trHeight w:val="624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center"/>
          </w:tcPr>
          <w:p w:rsidR="00E34EA7" w:rsidRPr="00E12CB0" w:rsidRDefault="00E34EA7" w:rsidP="00D17CA3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13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: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15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1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3:45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center"/>
          </w:tcPr>
          <w:p w:rsidR="00E34EA7" w:rsidRPr="00E12CB0" w:rsidRDefault="00E34EA7" w:rsidP="00E34EA7">
            <w:pPr>
              <w:pStyle w:val="Bezodstpw"/>
              <w:spacing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Przerwa obiadowa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D9D9D9" w:themeFill="background1" w:themeFillShade="D9"/>
            <w:vAlign w:val="center"/>
          </w:tcPr>
          <w:p w:rsidR="00E34EA7" w:rsidRPr="000D458A" w:rsidRDefault="00E34EA7" w:rsidP="00E34EA7">
            <w:pPr>
              <w:autoSpaceDE w:val="0"/>
              <w:autoSpaceDN w:val="0"/>
              <w:adjustRightInd w:val="0"/>
              <w:spacing w:after="0" w:line="240" w:lineRule="auto"/>
              <w:ind w:left="34" w:right="-108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</w:p>
        </w:tc>
      </w:tr>
      <w:tr w:rsidR="00E34EA7" w:rsidRPr="00E12CB0" w:rsidTr="007B5FA1">
        <w:trPr>
          <w:trHeight w:val="544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Pr="00E12CB0" w:rsidRDefault="00E34EA7" w:rsidP="00D17CA3">
            <w:pPr>
              <w:pStyle w:val="Bezodstpw"/>
              <w:spacing w:before="40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13.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45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14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30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Port jako ważny węzeł logistyczny w międzynarodowym łańcuchu dostaw-rola Krajowej Administracji Skarbowej w realizacji procesów portowych. </w:t>
            </w:r>
          </w:p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           - obsługa zgłoszeń celnych we wszystkich procedurach,</w:t>
            </w:r>
          </w:p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           - realizacja zadania Porty 24 h,</w:t>
            </w:r>
          </w:p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           - kontrole oparte o One Stop Shop w portach morskich,</w:t>
            </w:r>
          </w:p>
          <w:p w:rsid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           - ochronę rynku i społeczeństwa przez KAS ( odpady, IPR, </w:t>
            </w:r>
          </w:p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 xml:space="preserve">             </w:t>
            </w: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narkotyki, papierosy),</w:t>
            </w:r>
          </w:p>
          <w:p w:rsidR="00E34EA7" w:rsidRPr="00E34EA7" w:rsidRDefault="00E34EA7" w:rsidP="00E34EA7">
            <w:pPr>
              <w:pStyle w:val="Bezodstpw"/>
              <w:spacing w:before="40"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</w:pPr>
            <w:r w:rsidRPr="00E34EA7">
              <w:rPr>
                <w:rFonts w:asciiTheme="minorHAnsi" w:hAnsiTheme="minorHAnsi" w:cstheme="minorHAnsi"/>
                <w:color w:val="16171A"/>
                <w:sz w:val="20"/>
                <w:szCs w:val="20"/>
                <w:lang w:val="pl-PL"/>
              </w:rPr>
              <w:t>          - współpraca z wszystkimi interesariuszami na terenie portów.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F5747B" w:rsidRDefault="00E34EA7" w:rsidP="00E34EA7">
            <w:pPr>
              <w:pStyle w:val="Bezodstpw"/>
              <w:rPr>
                <w:rFonts w:ascii="Arial" w:hAnsi="Arial" w:cs="Arial"/>
                <w:color w:val="1F497D"/>
                <w:sz w:val="18"/>
                <w:szCs w:val="18"/>
                <w:lang w:val="pl-PL"/>
              </w:rPr>
            </w:pPr>
            <w:r w:rsidRPr="000D458A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Robert Florczyk</w:t>
            </w:r>
            <w:r w:rsid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="00F5747B" w:rsidRPr="00F5747B">
              <w:rPr>
                <w:rFonts w:ascii="Arial" w:hAnsi="Arial" w:cs="Arial"/>
                <w:color w:val="1F497D"/>
                <w:sz w:val="18"/>
                <w:szCs w:val="18"/>
                <w:lang w:val="pl-PL"/>
              </w:rPr>
              <w:t xml:space="preserve"> </w:t>
            </w:r>
          </w:p>
          <w:p w:rsidR="000D458A" w:rsidRPr="000D458A" w:rsidRDefault="00F5747B" w:rsidP="00F5747B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>Kierownik Oddziału Celnego Nabrzeże Łasztownia</w:t>
            </w:r>
            <w:r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, </w:t>
            </w:r>
            <w:r w:rsidRPr="00F5747B">
              <w:rPr>
                <w:rFonts w:asciiTheme="minorHAnsi" w:hAnsiTheme="minorHAnsi" w:cstheme="minorHAnsi"/>
                <w:bCs/>
                <w:color w:val="16171A"/>
                <w:sz w:val="20"/>
                <w:szCs w:val="20"/>
                <w:lang w:val="pl-PL"/>
              </w:rPr>
              <w:t xml:space="preserve"> Izba Administracji Skarbowej w Szczecinie</w:t>
            </w:r>
          </w:p>
        </w:tc>
      </w:tr>
      <w:tr w:rsidR="00E34EA7" w:rsidRPr="00E12CB0" w:rsidTr="007B5FA1">
        <w:trPr>
          <w:trHeight w:val="482"/>
        </w:trPr>
        <w:tc>
          <w:tcPr>
            <w:tcW w:w="1384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Pr="00E12CB0" w:rsidRDefault="00E34EA7" w:rsidP="00D17CA3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14.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30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– </w:t>
            </w: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5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.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00</w:t>
            </w:r>
          </w:p>
        </w:tc>
        <w:tc>
          <w:tcPr>
            <w:tcW w:w="5670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Pr="00E12CB0" w:rsidRDefault="00E34EA7" w:rsidP="00E34EA7">
            <w:pPr>
              <w:pStyle w:val="Bezodstpw"/>
              <w:spacing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Dyskusja </w:t>
            </w:r>
          </w:p>
        </w:tc>
        <w:tc>
          <w:tcPr>
            <w:tcW w:w="3119" w:type="dxa"/>
            <w:tcBorders>
              <w:bottom w:val="single" w:sz="4" w:space="0" w:color="808080"/>
            </w:tcBorders>
            <w:shd w:val="clear" w:color="auto" w:fill="FFFFFF"/>
            <w:vAlign w:val="center"/>
          </w:tcPr>
          <w:p w:rsidR="00E34EA7" w:rsidRPr="00E12CB0" w:rsidRDefault="00E34EA7" w:rsidP="00E34EA7">
            <w:pPr>
              <w:autoSpaceDE w:val="0"/>
              <w:autoSpaceDN w:val="0"/>
              <w:adjustRightInd w:val="0"/>
              <w:spacing w:after="0" w:line="240" w:lineRule="auto"/>
              <w:ind w:left="-108" w:right="-108"/>
              <w:jc w:val="center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</w:p>
        </w:tc>
      </w:tr>
      <w:tr w:rsidR="00E34EA7" w:rsidRPr="00E12CB0" w:rsidTr="007B5FA1">
        <w:trPr>
          <w:trHeight w:val="263"/>
        </w:trPr>
        <w:tc>
          <w:tcPr>
            <w:tcW w:w="1384" w:type="dxa"/>
            <w:tcBorders>
              <w:bottom w:val="single" w:sz="4" w:space="0" w:color="808080"/>
            </w:tcBorders>
            <w:shd w:val="pct15" w:color="auto" w:fill="auto"/>
            <w:vAlign w:val="center"/>
          </w:tcPr>
          <w:p w:rsidR="00E34EA7" w:rsidRPr="00E12CB0" w:rsidRDefault="00E34EA7" w:rsidP="00D17CA3">
            <w:pPr>
              <w:pStyle w:val="Bezodstpw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1</w:t>
            </w:r>
            <w:r w:rsidR="00D17CA3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5.00</w:t>
            </w: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 xml:space="preserve"> </w:t>
            </w:r>
          </w:p>
        </w:tc>
        <w:tc>
          <w:tcPr>
            <w:tcW w:w="8789" w:type="dxa"/>
            <w:gridSpan w:val="2"/>
            <w:tcBorders>
              <w:bottom w:val="single" w:sz="4" w:space="0" w:color="808080"/>
            </w:tcBorders>
            <w:shd w:val="pct15" w:color="auto" w:fill="auto"/>
            <w:vAlign w:val="center"/>
          </w:tcPr>
          <w:p w:rsidR="00E34EA7" w:rsidRPr="00E12CB0" w:rsidRDefault="00E34EA7" w:rsidP="00E34EA7">
            <w:pPr>
              <w:pStyle w:val="Bezodstpw"/>
              <w:spacing w:line="276" w:lineRule="auto"/>
              <w:rPr>
                <w:rFonts w:asciiTheme="minorHAnsi" w:hAnsiTheme="minorHAnsi" w:cstheme="minorHAnsi"/>
                <w:color w:val="16171A"/>
                <w:sz w:val="20"/>
                <w:szCs w:val="20"/>
              </w:rPr>
            </w:pPr>
            <w:r w:rsidRPr="00E12CB0">
              <w:rPr>
                <w:rFonts w:asciiTheme="minorHAnsi" w:hAnsiTheme="minorHAnsi" w:cstheme="minorHAnsi"/>
                <w:color w:val="16171A"/>
                <w:sz w:val="20"/>
                <w:szCs w:val="20"/>
              </w:rPr>
              <w:t>Zakończenie spotkania</w:t>
            </w:r>
          </w:p>
        </w:tc>
      </w:tr>
    </w:tbl>
    <w:p w:rsidR="00EE39E9" w:rsidRPr="00030646" w:rsidRDefault="00EE39E9" w:rsidP="00EE39E9">
      <w:pPr>
        <w:jc w:val="left"/>
      </w:pPr>
      <w:r>
        <w:rPr>
          <w:noProof/>
          <w:lang w:val="pl-PL" w:eastAsia="pl-PL"/>
        </w:rPr>
        <w:br/>
      </w:r>
      <w:r>
        <w:t xml:space="preserve">           </w:t>
      </w:r>
      <w:r>
        <w:br/>
      </w:r>
    </w:p>
    <w:p w:rsidR="00EE39E9" w:rsidRDefault="00EE39E9" w:rsidP="00EE39E9"/>
    <w:p w:rsidR="004E23A4" w:rsidRDefault="007E0C54"/>
    <w:sectPr w:rsidR="004E23A4" w:rsidSect="00B960FF">
      <w:footerReference w:type="default" r:id="rId8"/>
      <w:headerReference w:type="first" r:id="rId9"/>
      <w:footerReference w:type="first" r:id="rId10"/>
      <w:pgSz w:w="11906" w:h="16838"/>
      <w:pgMar w:top="1534" w:right="1021" w:bottom="567" w:left="1134" w:header="0" w:footer="107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C54" w:rsidRDefault="007E0C54">
      <w:pPr>
        <w:spacing w:after="0" w:line="240" w:lineRule="auto"/>
      </w:pPr>
      <w:r>
        <w:separator/>
      </w:r>
    </w:p>
  </w:endnote>
  <w:endnote w:type="continuationSeparator" w:id="0">
    <w:p w:rsidR="007E0C54" w:rsidRDefault="007E0C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yriad Pro">
    <w:altName w:val="Times New Roman"/>
    <w:charset w:val="EE"/>
    <w:family w:val="roman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yriad Pro Light">
    <w:altName w:val="Corbel"/>
    <w:panose1 w:val="00000000000000000000"/>
    <w:charset w:val="00"/>
    <w:family w:val="swiss"/>
    <w:notTrueType/>
    <w:pitch w:val="variable"/>
    <w:sig w:usb0="00000001" w:usb1="5000204B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Blogger Sans">
    <w:altName w:val="MS UI Gothic"/>
    <w:charset w:val="EE"/>
    <w:family w:val="auto"/>
    <w:pitch w:val="variable"/>
    <w:sig w:usb0="00000001" w:usb1="5200606A" w:usb2="14000000" w:usb3="00000000" w:csb0="00000097" w:csb1="00000000"/>
  </w:font>
  <w:font w:name="HelveticaNeueLT Std Lt">
    <w:altName w:val="Arial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0057" w:rsidRDefault="007E0C54" w:rsidP="00B85ED2">
    <w:pPr>
      <w:pStyle w:val="Stopka"/>
    </w:pPr>
  </w:p>
  <w:p w:rsidR="00096B6B" w:rsidRDefault="007E0C54" w:rsidP="00B85ED2">
    <w:pPr>
      <w:pStyle w:val="Stopka"/>
    </w:pPr>
  </w:p>
  <w:p w:rsidR="00DF1F1C" w:rsidRPr="002A161F" w:rsidRDefault="00D17CA3" w:rsidP="002A161F">
    <w:pPr>
      <w:pStyle w:val="Stopka"/>
      <w:tabs>
        <w:tab w:val="clear" w:pos="4252"/>
        <w:tab w:val="clear" w:pos="8504"/>
        <w:tab w:val="center" w:pos="4820"/>
        <w:tab w:val="right" w:pos="8364"/>
      </w:tabs>
    </w:pPr>
    <w:r>
      <w:t>een.ec.europa.eu</w:t>
    </w:r>
    <w:r>
      <w:tab/>
      <w:t xml:space="preserve">     </w:t>
    </w:r>
    <w:r>
      <w:tab/>
    </w:r>
    <w:r>
      <w:tab/>
      <w:t xml:space="preserve">         Strona</w:t>
    </w:r>
    <w:r w:rsidRPr="002A161F">
      <w:t xml:space="preserve"> </w:t>
    </w:r>
    <w:r w:rsidRPr="002A161F">
      <w:fldChar w:fldCharType="begin"/>
    </w:r>
    <w:r w:rsidRPr="002A161F">
      <w:instrText xml:space="preserve"> PAGE   \* MERGEFORMAT </w:instrText>
    </w:r>
    <w:r w:rsidRPr="002A161F">
      <w:fldChar w:fldCharType="separate"/>
    </w:r>
    <w:r w:rsidR="00090724">
      <w:rPr>
        <w:noProof/>
      </w:rPr>
      <w:t>2</w:t>
    </w:r>
    <w:r w:rsidRPr="002A161F"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42C9" w:rsidRDefault="00D17CA3" w:rsidP="004A0E99">
    <w:pPr>
      <w:pStyle w:val="Stopka"/>
      <w:ind w:left="-284"/>
    </w:pPr>
    <w:r>
      <w:rPr>
        <w:noProof/>
        <w:lang w:val="pl-PL" w:eastAsia="pl-PL"/>
      </w:rPr>
      <w:drawing>
        <wp:anchor distT="0" distB="0" distL="114300" distR="114300" simplePos="0" relativeHeight="251660288" behindDoc="0" locked="0" layoutInCell="1" allowOverlap="1" wp14:anchorId="7C3BEB56" wp14:editId="21C02F7D">
          <wp:simplePos x="0" y="0"/>
          <wp:positionH relativeFrom="column">
            <wp:posOffset>2278380</wp:posOffset>
          </wp:positionH>
          <wp:positionV relativeFrom="paragraph">
            <wp:posOffset>2540</wp:posOffset>
          </wp:positionV>
          <wp:extent cx="876300" cy="855345"/>
          <wp:effectExtent l="0" t="0" r="0" b="1905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6300" cy="855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pl-PL" w:eastAsia="pl-PL"/>
      </w:rPr>
      <w:drawing>
        <wp:anchor distT="0" distB="0" distL="114300" distR="114300" simplePos="0" relativeHeight="251659264" behindDoc="1" locked="0" layoutInCell="1" allowOverlap="1" wp14:anchorId="64EAA1F4" wp14:editId="1853FBCA">
          <wp:simplePos x="0" y="0"/>
          <wp:positionH relativeFrom="margin">
            <wp:align>right</wp:align>
          </wp:positionH>
          <wp:positionV relativeFrom="paragraph">
            <wp:posOffset>-2540</wp:posOffset>
          </wp:positionV>
          <wp:extent cx="2667000" cy="1028700"/>
          <wp:effectExtent l="0" t="0" r="0" b="0"/>
          <wp:wrapTight wrapText="bothSides">
            <wp:wrapPolygon edited="0">
              <wp:start x="0" y="0"/>
              <wp:lineTo x="0" y="21200"/>
              <wp:lineTo x="21446" y="21200"/>
              <wp:lineTo x="21446" y="0"/>
              <wp:lineTo x="0" y="0"/>
            </wp:wrapPolygon>
          </wp:wrapTight>
          <wp:docPr id="4" name="Obraz 4" descr="Report_logo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0 Imagen" descr="Report_logos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459" t="10870" r="6949" b="10869"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br/>
    </w:r>
    <w:r>
      <w:br/>
      <w:t>ee</w:t>
    </w:r>
    <w:r w:rsidRPr="000942C9">
      <w:t>n.ec.europa.eu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C54" w:rsidRDefault="007E0C54">
      <w:pPr>
        <w:spacing w:after="0" w:line="240" w:lineRule="auto"/>
      </w:pPr>
      <w:r>
        <w:separator/>
      </w:r>
    </w:p>
  </w:footnote>
  <w:footnote w:type="continuationSeparator" w:id="0">
    <w:p w:rsidR="007E0C54" w:rsidRDefault="007E0C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669C" w:rsidRPr="00460C2E" w:rsidRDefault="00D17CA3" w:rsidP="0019691C">
    <w:pPr>
      <w:pStyle w:val="header1"/>
      <w:ind w:left="-1134"/>
    </w:pPr>
    <w:r w:rsidRPr="00D43D6B">
      <w:rPr>
        <w:lang w:val="pl-PL" w:eastAsia="pl-PL"/>
      </w:rPr>
      <w:drawing>
        <wp:inline distT="0" distB="0" distL="0" distR="0" wp14:anchorId="34EB32FC" wp14:editId="3E0FB913">
          <wp:extent cx="7581900" cy="1455420"/>
          <wp:effectExtent l="0" t="0" r="0" b="0"/>
          <wp:docPr id="2" name="Obraz 2" descr="C:\Users\MSIUSER\Documents\JNiemcewicz_dokumenty\EEN\EEN branding\01_Logos_curves\Small Size\EEN_small_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2" descr="C:\Users\MSIUSER\Documents\JNiemcewicz_dokumenty\EEN\EEN branding\01_Logos_curves\Small Size\EEN_small_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0" cy="1455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pl-PL" w:eastAsia="pl-PL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5E4C59"/>
    <w:multiLevelType w:val="hybridMultilevel"/>
    <w:tmpl w:val="66D21040"/>
    <w:lvl w:ilvl="0" w:tplc="B25C1662">
      <w:start w:val="9"/>
      <w:numFmt w:val="bullet"/>
      <w:lvlText w:val="-"/>
      <w:lvlJc w:val="left"/>
      <w:pPr>
        <w:ind w:left="1440" w:hanging="360"/>
      </w:pPr>
      <w:rPr>
        <w:rFonts w:ascii="Calibri" w:eastAsia="Myriad Pro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3A56379F"/>
    <w:multiLevelType w:val="hybridMultilevel"/>
    <w:tmpl w:val="EB48A9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D13B7F"/>
    <w:multiLevelType w:val="hybridMultilevel"/>
    <w:tmpl w:val="2A1CE498"/>
    <w:lvl w:ilvl="0" w:tplc="B25C1662">
      <w:start w:val="9"/>
      <w:numFmt w:val="bullet"/>
      <w:lvlText w:val="-"/>
      <w:lvlJc w:val="left"/>
      <w:pPr>
        <w:ind w:left="720" w:hanging="360"/>
      </w:pPr>
      <w:rPr>
        <w:rFonts w:ascii="Calibri" w:eastAsia="Myriad Pro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5305BB6"/>
    <w:multiLevelType w:val="hybridMultilevel"/>
    <w:tmpl w:val="36ACD1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9864B13"/>
    <w:multiLevelType w:val="hybridMultilevel"/>
    <w:tmpl w:val="678AAC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9E9"/>
    <w:rsid w:val="00090724"/>
    <w:rsid w:val="000D2FA7"/>
    <w:rsid w:val="000D458A"/>
    <w:rsid w:val="00507A04"/>
    <w:rsid w:val="007D38D6"/>
    <w:rsid w:val="007E0C54"/>
    <w:rsid w:val="00956FF8"/>
    <w:rsid w:val="00D17CA3"/>
    <w:rsid w:val="00E34EA7"/>
    <w:rsid w:val="00EE39E9"/>
    <w:rsid w:val="00F57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E39E9"/>
    <w:pPr>
      <w:spacing w:after="240" w:line="276" w:lineRule="auto"/>
      <w:jc w:val="both"/>
    </w:pPr>
    <w:rPr>
      <w:rFonts w:ascii="Myriad Pro Light" w:eastAsia="Myriad Pro" w:hAnsi="Myriad Pro Light" w:cs="Times New Roman"/>
      <w:szCs w:val="28"/>
      <w:lang w:val="ca-E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E39E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aliases w:val="Title"/>
    <w:basedOn w:val="Nagwek1"/>
    <w:next w:val="Normalny"/>
    <w:link w:val="TytuZnak"/>
    <w:uiPriority w:val="10"/>
    <w:qFormat/>
    <w:rsid w:val="00EE39E9"/>
    <w:pPr>
      <w:spacing w:before="360" w:after="300" w:line="240" w:lineRule="auto"/>
      <w:contextualSpacing/>
    </w:pPr>
    <w:rPr>
      <w:rFonts w:ascii="Blogger Sans" w:eastAsia="Times New Roman" w:hAnsi="Blogger Sans" w:cs="Times New Roman"/>
      <w:bCs/>
      <w:color w:val="00587C"/>
      <w:spacing w:val="5"/>
      <w:kern w:val="28"/>
      <w:sz w:val="72"/>
      <w:szCs w:val="72"/>
    </w:rPr>
  </w:style>
  <w:style w:type="character" w:customStyle="1" w:styleId="TytuZnak">
    <w:name w:val="Tytuł Znak"/>
    <w:aliases w:val="Title Znak"/>
    <w:basedOn w:val="Domylnaczcionkaakapitu"/>
    <w:link w:val="Tytu"/>
    <w:uiPriority w:val="10"/>
    <w:rsid w:val="00EE39E9"/>
    <w:rPr>
      <w:rFonts w:ascii="Blogger Sans" w:eastAsia="Times New Roman" w:hAnsi="Blogger Sans" w:cs="Times New Roman"/>
      <w:bCs/>
      <w:color w:val="00587C"/>
      <w:spacing w:val="5"/>
      <w:kern w:val="28"/>
      <w:sz w:val="72"/>
      <w:szCs w:val="72"/>
      <w:lang w:val="ca-ES"/>
    </w:rPr>
  </w:style>
  <w:style w:type="paragraph" w:styleId="Bezodstpw">
    <w:name w:val="No Spacing"/>
    <w:uiPriority w:val="1"/>
    <w:rsid w:val="00EE39E9"/>
    <w:pPr>
      <w:spacing w:before="120" w:after="0" w:line="240" w:lineRule="auto"/>
      <w:jc w:val="both"/>
    </w:pPr>
    <w:rPr>
      <w:rFonts w:ascii="HelveticaNeueLT Std Lt" w:eastAsia="Myriad Pro" w:hAnsi="HelveticaNeueLT Std Lt" w:cs="Times New Roman"/>
      <w:color w:val="005284"/>
      <w:lang w:val="ca-ES"/>
    </w:rPr>
  </w:style>
  <w:style w:type="character" w:styleId="Wyrnieniedelikatne">
    <w:name w:val="Subtle Emphasis"/>
    <w:aliases w:val="Highlight"/>
    <w:uiPriority w:val="19"/>
    <w:qFormat/>
    <w:rsid w:val="00EE39E9"/>
    <w:rPr>
      <w:rFonts w:ascii="Myriad Pro Light" w:hAnsi="Myriad Pro Light"/>
      <w:iCs/>
      <w:color w:val="00587C"/>
      <w:sz w:val="28"/>
      <w:bdr w:val="none" w:sz="0" w:space="0" w:color="auto"/>
    </w:rPr>
  </w:style>
  <w:style w:type="paragraph" w:styleId="Stopka">
    <w:name w:val="footer"/>
    <w:basedOn w:val="Normalny"/>
    <w:link w:val="StopkaZnak"/>
    <w:unhideWhenUsed/>
    <w:rsid w:val="00EE39E9"/>
    <w:pPr>
      <w:tabs>
        <w:tab w:val="center" w:pos="4252"/>
        <w:tab w:val="right" w:pos="8504"/>
      </w:tabs>
      <w:spacing w:after="0" w:line="240" w:lineRule="auto"/>
    </w:pPr>
    <w:rPr>
      <w:rFonts w:cs="Myriad Pro"/>
      <w:color w:val="00587C"/>
      <w:sz w:val="24"/>
      <w:szCs w:val="23"/>
    </w:rPr>
  </w:style>
  <w:style w:type="character" w:customStyle="1" w:styleId="StopkaZnak">
    <w:name w:val="Stopka Znak"/>
    <w:basedOn w:val="Domylnaczcionkaakapitu"/>
    <w:link w:val="Stopka"/>
    <w:rsid w:val="00EE39E9"/>
    <w:rPr>
      <w:rFonts w:ascii="Myriad Pro Light" w:eastAsia="Myriad Pro" w:hAnsi="Myriad Pro Light" w:cs="Myriad Pro"/>
      <w:color w:val="00587C"/>
      <w:sz w:val="24"/>
      <w:szCs w:val="23"/>
      <w:lang w:val="ca-ES"/>
    </w:rPr>
  </w:style>
  <w:style w:type="paragraph" w:customStyle="1" w:styleId="header1">
    <w:name w:val="header 1"/>
    <w:basedOn w:val="Nagwek"/>
    <w:link w:val="header1Car"/>
    <w:qFormat/>
    <w:rsid w:val="00EE39E9"/>
    <w:pPr>
      <w:tabs>
        <w:tab w:val="clear" w:pos="4536"/>
        <w:tab w:val="clear" w:pos="9072"/>
        <w:tab w:val="center" w:pos="4252"/>
        <w:tab w:val="right" w:pos="8504"/>
      </w:tabs>
      <w:jc w:val="right"/>
    </w:pPr>
    <w:rPr>
      <w:rFonts w:ascii="Times New Roman" w:hAnsi="Times New Roman"/>
      <w:b/>
      <w:noProof/>
      <w:color w:val="FFFFFF"/>
      <w:sz w:val="24"/>
      <w:szCs w:val="24"/>
      <w:lang w:val="es-ES" w:eastAsia="es-ES"/>
    </w:rPr>
  </w:style>
  <w:style w:type="character" w:customStyle="1" w:styleId="header1Car">
    <w:name w:val="header 1 Car"/>
    <w:link w:val="header1"/>
    <w:rsid w:val="00EE39E9"/>
    <w:rPr>
      <w:rFonts w:ascii="Times New Roman" w:eastAsia="Myriad Pro" w:hAnsi="Times New Roman" w:cs="Times New Roman"/>
      <w:b/>
      <w:noProof/>
      <w:color w:val="FFFFFF"/>
      <w:sz w:val="24"/>
      <w:szCs w:val="24"/>
      <w:lang w:val="es-ES" w:eastAsia="es-ES"/>
    </w:rPr>
  </w:style>
  <w:style w:type="character" w:customStyle="1" w:styleId="Nagwek1Znak">
    <w:name w:val="Nagłówek 1 Znak"/>
    <w:basedOn w:val="Domylnaczcionkaakapitu"/>
    <w:link w:val="Nagwek1"/>
    <w:uiPriority w:val="9"/>
    <w:rsid w:val="00EE39E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a-ES"/>
    </w:rPr>
  </w:style>
  <w:style w:type="paragraph" w:styleId="Nagwek">
    <w:name w:val="header"/>
    <w:basedOn w:val="Normalny"/>
    <w:link w:val="NagwekZnak"/>
    <w:uiPriority w:val="99"/>
    <w:semiHidden/>
    <w:unhideWhenUsed/>
    <w:rsid w:val="00EE39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EE39E9"/>
    <w:rPr>
      <w:rFonts w:ascii="Myriad Pro Light" w:eastAsia="Myriad Pro" w:hAnsi="Myriad Pro Light" w:cs="Times New Roman"/>
      <w:szCs w:val="28"/>
      <w:lang w:val="ca-E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74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747B"/>
    <w:rPr>
      <w:rFonts w:ascii="Segoe UI" w:eastAsia="Myriad Pro" w:hAnsi="Segoe UI" w:cs="Segoe UI"/>
      <w:sz w:val="18"/>
      <w:szCs w:val="18"/>
      <w:lang w:val="ca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E39E9"/>
    <w:pPr>
      <w:spacing w:after="240" w:line="276" w:lineRule="auto"/>
      <w:jc w:val="both"/>
    </w:pPr>
    <w:rPr>
      <w:rFonts w:ascii="Myriad Pro Light" w:eastAsia="Myriad Pro" w:hAnsi="Myriad Pro Light" w:cs="Times New Roman"/>
      <w:szCs w:val="28"/>
      <w:lang w:val="ca-E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E39E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aliases w:val="Title"/>
    <w:basedOn w:val="Nagwek1"/>
    <w:next w:val="Normalny"/>
    <w:link w:val="TytuZnak"/>
    <w:uiPriority w:val="10"/>
    <w:qFormat/>
    <w:rsid w:val="00EE39E9"/>
    <w:pPr>
      <w:spacing w:before="360" w:after="300" w:line="240" w:lineRule="auto"/>
      <w:contextualSpacing/>
    </w:pPr>
    <w:rPr>
      <w:rFonts w:ascii="Blogger Sans" w:eastAsia="Times New Roman" w:hAnsi="Blogger Sans" w:cs="Times New Roman"/>
      <w:bCs/>
      <w:color w:val="00587C"/>
      <w:spacing w:val="5"/>
      <w:kern w:val="28"/>
      <w:sz w:val="72"/>
      <w:szCs w:val="72"/>
    </w:rPr>
  </w:style>
  <w:style w:type="character" w:customStyle="1" w:styleId="TytuZnak">
    <w:name w:val="Tytuł Znak"/>
    <w:aliases w:val="Title Znak"/>
    <w:basedOn w:val="Domylnaczcionkaakapitu"/>
    <w:link w:val="Tytu"/>
    <w:uiPriority w:val="10"/>
    <w:rsid w:val="00EE39E9"/>
    <w:rPr>
      <w:rFonts w:ascii="Blogger Sans" w:eastAsia="Times New Roman" w:hAnsi="Blogger Sans" w:cs="Times New Roman"/>
      <w:bCs/>
      <w:color w:val="00587C"/>
      <w:spacing w:val="5"/>
      <w:kern w:val="28"/>
      <w:sz w:val="72"/>
      <w:szCs w:val="72"/>
      <w:lang w:val="ca-ES"/>
    </w:rPr>
  </w:style>
  <w:style w:type="paragraph" w:styleId="Bezodstpw">
    <w:name w:val="No Spacing"/>
    <w:uiPriority w:val="1"/>
    <w:rsid w:val="00EE39E9"/>
    <w:pPr>
      <w:spacing w:before="120" w:after="0" w:line="240" w:lineRule="auto"/>
      <w:jc w:val="both"/>
    </w:pPr>
    <w:rPr>
      <w:rFonts w:ascii="HelveticaNeueLT Std Lt" w:eastAsia="Myriad Pro" w:hAnsi="HelveticaNeueLT Std Lt" w:cs="Times New Roman"/>
      <w:color w:val="005284"/>
      <w:lang w:val="ca-ES"/>
    </w:rPr>
  </w:style>
  <w:style w:type="character" w:styleId="Wyrnieniedelikatne">
    <w:name w:val="Subtle Emphasis"/>
    <w:aliases w:val="Highlight"/>
    <w:uiPriority w:val="19"/>
    <w:qFormat/>
    <w:rsid w:val="00EE39E9"/>
    <w:rPr>
      <w:rFonts w:ascii="Myriad Pro Light" w:hAnsi="Myriad Pro Light"/>
      <w:iCs/>
      <w:color w:val="00587C"/>
      <w:sz w:val="28"/>
      <w:bdr w:val="none" w:sz="0" w:space="0" w:color="auto"/>
    </w:rPr>
  </w:style>
  <w:style w:type="paragraph" w:styleId="Stopka">
    <w:name w:val="footer"/>
    <w:basedOn w:val="Normalny"/>
    <w:link w:val="StopkaZnak"/>
    <w:unhideWhenUsed/>
    <w:rsid w:val="00EE39E9"/>
    <w:pPr>
      <w:tabs>
        <w:tab w:val="center" w:pos="4252"/>
        <w:tab w:val="right" w:pos="8504"/>
      </w:tabs>
      <w:spacing w:after="0" w:line="240" w:lineRule="auto"/>
    </w:pPr>
    <w:rPr>
      <w:rFonts w:cs="Myriad Pro"/>
      <w:color w:val="00587C"/>
      <w:sz w:val="24"/>
      <w:szCs w:val="23"/>
    </w:rPr>
  </w:style>
  <w:style w:type="character" w:customStyle="1" w:styleId="StopkaZnak">
    <w:name w:val="Stopka Znak"/>
    <w:basedOn w:val="Domylnaczcionkaakapitu"/>
    <w:link w:val="Stopka"/>
    <w:rsid w:val="00EE39E9"/>
    <w:rPr>
      <w:rFonts w:ascii="Myriad Pro Light" w:eastAsia="Myriad Pro" w:hAnsi="Myriad Pro Light" w:cs="Myriad Pro"/>
      <w:color w:val="00587C"/>
      <w:sz w:val="24"/>
      <w:szCs w:val="23"/>
      <w:lang w:val="ca-ES"/>
    </w:rPr>
  </w:style>
  <w:style w:type="paragraph" w:customStyle="1" w:styleId="header1">
    <w:name w:val="header 1"/>
    <w:basedOn w:val="Nagwek"/>
    <w:link w:val="header1Car"/>
    <w:qFormat/>
    <w:rsid w:val="00EE39E9"/>
    <w:pPr>
      <w:tabs>
        <w:tab w:val="clear" w:pos="4536"/>
        <w:tab w:val="clear" w:pos="9072"/>
        <w:tab w:val="center" w:pos="4252"/>
        <w:tab w:val="right" w:pos="8504"/>
      </w:tabs>
      <w:jc w:val="right"/>
    </w:pPr>
    <w:rPr>
      <w:rFonts w:ascii="Times New Roman" w:hAnsi="Times New Roman"/>
      <w:b/>
      <w:noProof/>
      <w:color w:val="FFFFFF"/>
      <w:sz w:val="24"/>
      <w:szCs w:val="24"/>
      <w:lang w:val="es-ES" w:eastAsia="es-ES"/>
    </w:rPr>
  </w:style>
  <w:style w:type="character" w:customStyle="1" w:styleId="header1Car">
    <w:name w:val="header 1 Car"/>
    <w:link w:val="header1"/>
    <w:rsid w:val="00EE39E9"/>
    <w:rPr>
      <w:rFonts w:ascii="Times New Roman" w:eastAsia="Myriad Pro" w:hAnsi="Times New Roman" w:cs="Times New Roman"/>
      <w:b/>
      <w:noProof/>
      <w:color w:val="FFFFFF"/>
      <w:sz w:val="24"/>
      <w:szCs w:val="24"/>
      <w:lang w:val="es-ES" w:eastAsia="es-ES"/>
    </w:rPr>
  </w:style>
  <w:style w:type="character" w:customStyle="1" w:styleId="Nagwek1Znak">
    <w:name w:val="Nagłówek 1 Znak"/>
    <w:basedOn w:val="Domylnaczcionkaakapitu"/>
    <w:link w:val="Nagwek1"/>
    <w:uiPriority w:val="9"/>
    <w:rsid w:val="00EE39E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a-ES"/>
    </w:rPr>
  </w:style>
  <w:style w:type="paragraph" w:styleId="Nagwek">
    <w:name w:val="header"/>
    <w:basedOn w:val="Normalny"/>
    <w:link w:val="NagwekZnak"/>
    <w:uiPriority w:val="99"/>
    <w:semiHidden/>
    <w:unhideWhenUsed/>
    <w:rsid w:val="00EE39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EE39E9"/>
    <w:rPr>
      <w:rFonts w:ascii="Myriad Pro Light" w:eastAsia="Myriad Pro" w:hAnsi="Myriad Pro Light" w:cs="Times New Roman"/>
      <w:szCs w:val="28"/>
      <w:lang w:val="ca-E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574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5747B"/>
    <w:rPr>
      <w:rFonts w:ascii="Segoe UI" w:eastAsia="Myriad Pro" w:hAnsi="Segoe UI" w:cs="Segoe UI"/>
      <w:sz w:val="18"/>
      <w:szCs w:val="18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34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9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497</Words>
  <Characters>2983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Wójcikiewicz</dc:creator>
  <cp:lastModifiedBy>Małgorzata Łoś</cp:lastModifiedBy>
  <cp:revision>2</cp:revision>
  <dcterms:created xsi:type="dcterms:W3CDTF">2018-10-23T07:53:00Z</dcterms:created>
  <dcterms:modified xsi:type="dcterms:W3CDTF">2018-10-23T07:53:00Z</dcterms:modified>
</cp:coreProperties>
</file>